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953E" w14:textId="080014D6" w:rsidR="00A63DF1" w:rsidRDefault="00A63DF1" w:rsidP="00A63DF1">
      <w:pPr>
        <w:jc w:val="center"/>
      </w:pPr>
      <w:r>
        <w:rPr>
          <w:noProof/>
        </w:rPr>
        <w:drawing>
          <wp:inline distT="0" distB="0" distL="0" distR="0" wp14:anchorId="000F08E7" wp14:editId="52F12407">
            <wp:extent cx="2381250" cy="1543050"/>
            <wp:effectExtent l="0" t="0" r="0" b="0"/>
            <wp:docPr id="593636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06860" w14:textId="77777777" w:rsidR="002B2830" w:rsidRDefault="002B2830" w:rsidP="009F54FE">
      <w:pPr>
        <w:jc w:val="center"/>
        <w:rPr>
          <w:rFonts w:ascii="Arial" w:hAnsi="Arial" w:cs="Arial"/>
          <w:b/>
          <w:sz w:val="28"/>
          <w:szCs w:val="28"/>
        </w:rPr>
      </w:pPr>
    </w:p>
    <w:p w14:paraId="66FC9013" w14:textId="06692E94" w:rsidR="009F54FE" w:rsidRPr="008B6326" w:rsidRDefault="009F54FE" w:rsidP="002B2830">
      <w:pPr>
        <w:jc w:val="center"/>
        <w:rPr>
          <w:rFonts w:ascii="Arial" w:hAnsi="Arial" w:cs="Arial"/>
          <w:b/>
          <w:lang w:val="en"/>
        </w:rPr>
      </w:pPr>
      <w:r w:rsidRPr="009F5A18">
        <w:rPr>
          <w:rFonts w:ascii="Arial" w:hAnsi="Arial" w:cs="Arial"/>
          <w:b/>
          <w:sz w:val="28"/>
          <w:szCs w:val="28"/>
        </w:rPr>
        <w:t xml:space="preserve">Dignity at </w:t>
      </w:r>
      <w:r w:rsidR="002B2830">
        <w:rPr>
          <w:rFonts w:ascii="Arial" w:hAnsi="Arial" w:cs="Arial"/>
          <w:b/>
          <w:sz w:val="28"/>
          <w:szCs w:val="28"/>
        </w:rPr>
        <w:t>W</w:t>
      </w:r>
      <w:r w:rsidRPr="009F5A18">
        <w:rPr>
          <w:rFonts w:ascii="Arial" w:hAnsi="Arial" w:cs="Arial"/>
          <w:b/>
          <w:sz w:val="28"/>
          <w:szCs w:val="28"/>
        </w:rPr>
        <w:t>ork Policy</w:t>
      </w:r>
      <w:r>
        <w:rPr>
          <w:rFonts w:ascii="Arial" w:hAnsi="Arial" w:cs="Arial"/>
          <w:b/>
          <w:sz w:val="28"/>
          <w:szCs w:val="28"/>
        </w:rPr>
        <w:t xml:space="preserve"> and Key Procedures</w:t>
      </w:r>
    </w:p>
    <w:tbl>
      <w:tblPr>
        <w:tblW w:w="142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11884"/>
      </w:tblGrid>
      <w:tr w:rsidR="009F54FE" w:rsidRPr="00D34CB6" w14:paraId="249320F2" w14:textId="77777777" w:rsidTr="000F6D5F">
        <w:tc>
          <w:tcPr>
            <w:tcW w:w="2160" w:type="dxa"/>
          </w:tcPr>
          <w:p w14:paraId="7ABB6BE4" w14:textId="77777777" w:rsidR="009F54FE" w:rsidRPr="00D34CB6" w:rsidRDefault="009F54FE" w:rsidP="000F6D5F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Aims of the </w:t>
            </w:r>
            <w:r w:rsidRPr="00D34CB6">
              <w:rPr>
                <w:rFonts w:ascii="Arial" w:hAnsi="Arial" w:cs="Arial"/>
                <w:sz w:val="22"/>
                <w:szCs w:val="22"/>
                <w:lang w:val="en"/>
              </w:rPr>
              <w:t>Policy</w:t>
            </w:r>
          </w:p>
          <w:p w14:paraId="0326FA7D" w14:textId="77777777" w:rsidR="009F54FE" w:rsidRPr="00D34CB6" w:rsidRDefault="009F54FE" w:rsidP="000F6D5F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color w:val="0000FF"/>
                <w:sz w:val="22"/>
                <w:szCs w:val="22"/>
                <w:lang w:val="en"/>
              </w:rPr>
            </w:pPr>
          </w:p>
        </w:tc>
        <w:tc>
          <w:tcPr>
            <w:tcW w:w="236" w:type="dxa"/>
          </w:tcPr>
          <w:p w14:paraId="09643174" w14:textId="77777777" w:rsidR="009F54FE" w:rsidRPr="00223750" w:rsidRDefault="009F54FE" w:rsidP="000F6D5F">
            <w:pPr>
              <w:jc w:val="both"/>
              <w:rPr>
                <w:rFonts w:ascii="Arial" w:hAnsi="Arial" w:cs="Arial"/>
                <w:color w:val="0000FF"/>
                <w:lang w:val="en"/>
              </w:rPr>
            </w:pPr>
          </w:p>
        </w:tc>
        <w:tc>
          <w:tcPr>
            <w:tcW w:w="11884" w:type="dxa"/>
          </w:tcPr>
          <w:p w14:paraId="63C9F0C7" w14:textId="6376BEBE" w:rsidR="009F54FE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The purpose </w:t>
            </w:r>
            <w:r w:rsidRPr="00223750">
              <w:rPr>
                <w:rFonts w:ascii="Arial" w:hAnsi="Arial" w:cs="Arial"/>
                <w:sz w:val="22"/>
                <w:szCs w:val="22"/>
                <w:lang w:val="en"/>
              </w:rPr>
              <w:t>of this policy</w:t>
            </w:r>
            <w:r w:rsidRPr="004914C8">
              <w:rPr>
                <w:rFonts w:ascii="Arial" w:hAnsi="Arial" w:cs="Arial"/>
                <w:sz w:val="22"/>
                <w:szCs w:val="22"/>
                <w:lang w:val="en"/>
              </w:rPr>
              <w:t xml:space="preserve"> is to ensure a culture of working relationships where everyone is treated with dignity and respect, where harassment is </w:t>
            </w:r>
            <w:r w:rsidR="002B2830" w:rsidRPr="004914C8">
              <w:rPr>
                <w:rFonts w:ascii="Arial" w:hAnsi="Arial" w:cs="Arial"/>
                <w:sz w:val="22"/>
                <w:szCs w:val="22"/>
                <w:lang w:val="en"/>
              </w:rPr>
              <w:t>unacceptable,</w:t>
            </w:r>
            <w:r w:rsidRPr="004914C8">
              <w:rPr>
                <w:rFonts w:ascii="Arial" w:hAnsi="Arial" w:cs="Arial"/>
                <w:sz w:val="22"/>
                <w:szCs w:val="22"/>
                <w:lang w:val="en"/>
              </w:rPr>
              <w:t xml:space="preserve"> and individuals have the confidence to </w:t>
            </w:r>
            <w:r w:rsidRPr="00223750">
              <w:rPr>
                <w:rFonts w:ascii="Arial" w:hAnsi="Arial" w:cs="Arial"/>
                <w:sz w:val="22"/>
                <w:szCs w:val="22"/>
                <w:lang w:val="en"/>
              </w:rPr>
              <w:t>deal with and</w:t>
            </w:r>
            <w:r w:rsidRPr="004914C8">
              <w:rPr>
                <w:rFonts w:ascii="Arial" w:hAnsi="Arial" w:cs="Arial"/>
                <w:sz w:val="22"/>
                <w:szCs w:val="22"/>
                <w:lang w:val="en"/>
              </w:rPr>
              <w:t xml:space="preserve"> challenge harassment or bullying without reprisals.</w:t>
            </w:r>
          </w:p>
          <w:p w14:paraId="5526F79F" w14:textId="77777777" w:rsidR="009F54FE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52F66A8C" w14:textId="3E91304E" w:rsidR="009F54FE" w:rsidRPr="00EB48FE" w:rsidRDefault="002B2830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Queensferry Community Council </w:t>
            </w:r>
            <w:r w:rsidR="009F54FE" w:rsidRPr="00EB48FE">
              <w:rPr>
                <w:rFonts w:ascii="Arial" w:hAnsi="Arial" w:cs="Arial"/>
                <w:sz w:val="22"/>
                <w:szCs w:val="22"/>
                <w:lang w:val="en"/>
              </w:rPr>
              <w:t xml:space="preserve">is committed to tackling </w:t>
            </w:r>
            <w:proofErr w:type="spellStart"/>
            <w:r w:rsidR="009F54FE" w:rsidRPr="00EB48FE">
              <w:rPr>
                <w:rFonts w:ascii="Arial" w:hAnsi="Arial" w:cs="Arial"/>
                <w:sz w:val="22"/>
                <w:szCs w:val="22"/>
                <w:lang w:val="en"/>
              </w:rPr>
              <w:t>behaviour</w:t>
            </w:r>
            <w:proofErr w:type="spellEnd"/>
            <w:r w:rsidR="009F54FE" w:rsidRPr="00EB48FE">
              <w:rPr>
                <w:rFonts w:ascii="Arial" w:hAnsi="Arial" w:cs="Arial"/>
                <w:sz w:val="22"/>
                <w:szCs w:val="22"/>
                <w:lang w:val="en"/>
              </w:rPr>
              <w:t xml:space="preserve"> that is deemed inappropriate in working relationships. In many instances, the issues can be resolved informally. </w:t>
            </w:r>
            <w:r w:rsidRPr="00EB48FE">
              <w:rPr>
                <w:rFonts w:ascii="Arial" w:hAnsi="Arial" w:cs="Arial"/>
                <w:sz w:val="22"/>
                <w:szCs w:val="22"/>
                <w:lang w:val="en"/>
              </w:rPr>
              <w:t>However,</w:t>
            </w:r>
            <w:r w:rsidR="009F54FE" w:rsidRPr="00EB48FE">
              <w:rPr>
                <w:rFonts w:ascii="Arial" w:hAnsi="Arial" w:cs="Arial"/>
                <w:sz w:val="22"/>
                <w:szCs w:val="22"/>
                <w:lang w:val="en"/>
              </w:rPr>
              <w:t xml:space="preserve"> any complaint will be dealt with seriously and investigated quickly.</w:t>
            </w:r>
          </w:p>
          <w:p w14:paraId="52626A41" w14:textId="77777777" w:rsidR="009F54FE" w:rsidRPr="00D34CB6" w:rsidRDefault="009F54FE" w:rsidP="000F6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F54FE" w:rsidRPr="00D34CB6" w14:paraId="65E6903E" w14:textId="77777777" w:rsidTr="000F6D5F">
        <w:tc>
          <w:tcPr>
            <w:tcW w:w="2160" w:type="dxa"/>
          </w:tcPr>
          <w:p w14:paraId="3B63BBE1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Scope of the policy</w:t>
            </w:r>
          </w:p>
        </w:tc>
        <w:tc>
          <w:tcPr>
            <w:tcW w:w="236" w:type="dxa"/>
          </w:tcPr>
          <w:p w14:paraId="7C2B8A04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</w:tc>
        <w:tc>
          <w:tcPr>
            <w:tcW w:w="11884" w:type="dxa"/>
          </w:tcPr>
          <w:p w14:paraId="2D5AAF25" w14:textId="71814B21" w:rsidR="009F54FE" w:rsidRDefault="009F54FE" w:rsidP="000F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policy and procedure </w:t>
            </w:r>
            <w:proofErr w:type="gramStart"/>
            <w:r>
              <w:rPr>
                <w:rFonts w:ascii="Arial" w:hAnsi="Arial" w:cs="Arial"/>
              </w:rPr>
              <w:t>applies</w:t>
            </w:r>
            <w:proofErr w:type="gramEnd"/>
            <w:r>
              <w:rPr>
                <w:rFonts w:ascii="Arial" w:hAnsi="Arial" w:cs="Arial"/>
              </w:rPr>
              <w:t xml:space="preserve"> to </w:t>
            </w:r>
            <w:r w:rsidR="002B2830">
              <w:rPr>
                <w:rFonts w:ascii="Arial" w:hAnsi="Arial" w:cs="Arial"/>
              </w:rPr>
              <w:t xml:space="preserve">all Employees </w:t>
            </w:r>
            <w:r>
              <w:rPr>
                <w:rFonts w:ascii="Arial" w:hAnsi="Arial" w:cs="Arial"/>
              </w:rPr>
              <w:t>&amp; Councillors.</w:t>
            </w:r>
          </w:p>
          <w:p w14:paraId="0AFDE34E" w14:textId="77777777" w:rsidR="009F54FE" w:rsidRDefault="009F54FE" w:rsidP="000F6D5F">
            <w:pPr>
              <w:rPr>
                <w:rFonts w:ascii="Arial" w:hAnsi="Arial" w:cs="Arial"/>
              </w:rPr>
            </w:pPr>
          </w:p>
          <w:p w14:paraId="4905D80A" w14:textId="77777777" w:rsidR="009F54FE" w:rsidRDefault="009F54FE" w:rsidP="000F6D5F">
            <w:pPr>
              <w:rPr>
                <w:rFonts w:ascii="Arial" w:hAnsi="Arial" w:cs="Arial"/>
              </w:rPr>
            </w:pPr>
          </w:p>
          <w:p w14:paraId="003DD406" w14:textId="77777777" w:rsidR="009F54FE" w:rsidRDefault="009F54FE" w:rsidP="000F6D5F">
            <w:pPr>
              <w:rPr>
                <w:rFonts w:ascii="Arial" w:hAnsi="Arial" w:cs="Arial"/>
                <w:strike/>
                <w:color w:val="0000FF"/>
              </w:rPr>
            </w:pPr>
          </w:p>
          <w:p w14:paraId="5EFB9C3B" w14:textId="77777777" w:rsidR="009F54FE" w:rsidRDefault="009F54FE" w:rsidP="000F6D5F">
            <w:pPr>
              <w:rPr>
                <w:rFonts w:ascii="Arial" w:hAnsi="Arial" w:cs="Arial"/>
              </w:rPr>
            </w:pPr>
          </w:p>
          <w:p w14:paraId="75A56A29" w14:textId="77777777" w:rsidR="009F54FE" w:rsidRPr="001F653F" w:rsidRDefault="009F54FE" w:rsidP="000F6D5F">
            <w:pPr>
              <w:rPr>
                <w:rFonts w:ascii="Arial" w:hAnsi="Arial" w:cs="Arial"/>
                <w:strike/>
                <w:color w:val="0000FF"/>
              </w:rPr>
            </w:pPr>
          </w:p>
        </w:tc>
      </w:tr>
      <w:tr w:rsidR="009F54FE" w:rsidRPr="00D34CB6" w14:paraId="1CE75457" w14:textId="77777777" w:rsidTr="000F6D5F">
        <w:tc>
          <w:tcPr>
            <w:tcW w:w="2160" w:type="dxa"/>
          </w:tcPr>
          <w:p w14:paraId="59388359" w14:textId="77777777" w:rsidR="009F54FE" w:rsidRPr="00F65FDB" w:rsidRDefault="009F54FE" w:rsidP="000F6D5F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5FDB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Definitions</w:t>
            </w:r>
          </w:p>
        </w:tc>
        <w:tc>
          <w:tcPr>
            <w:tcW w:w="236" w:type="dxa"/>
          </w:tcPr>
          <w:p w14:paraId="6813CB97" w14:textId="77777777" w:rsidR="009F54FE" w:rsidRDefault="009F54FE" w:rsidP="000F6D5F">
            <w:pPr>
              <w:pStyle w:val="NoSpacing"/>
              <w:rPr>
                <w:color w:val="0000CC"/>
              </w:rPr>
            </w:pPr>
          </w:p>
          <w:p w14:paraId="5A764D06" w14:textId="77777777" w:rsidR="009F54FE" w:rsidRDefault="009F54FE" w:rsidP="000F6D5F">
            <w:pPr>
              <w:pStyle w:val="NoSpacing"/>
              <w:rPr>
                <w:color w:val="0000CC"/>
              </w:rPr>
            </w:pPr>
          </w:p>
          <w:p w14:paraId="0775D1F9" w14:textId="77777777" w:rsidR="009F54FE" w:rsidRPr="00D34CB6" w:rsidRDefault="009F54FE" w:rsidP="000F6D5F">
            <w:pPr>
              <w:pStyle w:val="NoSpacing"/>
              <w:rPr>
                <w:rFonts w:cs="Arial"/>
                <w:color w:val="0000FF"/>
                <w:lang w:val="en"/>
              </w:rPr>
            </w:pPr>
          </w:p>
        </w:tc>
        <w:tc>
          <w:tcPr>
            <w:tcW w:w="11884" w:type="dxa"/>
          </w:tcPr>
          <w:p w14:paraId="4E04FB6C" w14:textId="62F7014B" w:rsidR="009F54FE" w:rsidRPr="001F653F" w:rsidRDefault="009F54FE" w:rsidP="000F6D5F">
            <w:pPr>
              <w:pStyle w:val="NoSpacing"/>
            </w:pPr>
            <w:r w:rsidRPr="001F653F">
              <w:t xml:space="preserve">Harassment is unwanted conduct in working relationships affecting </w:t>
            </w:r>
            <w:r w:rsidRPr="00F37D71">
              <w:t>people’s dignity. It</w:t>
            </w:r>
            <w:r w:rsidRPr="001F653F">
              <w:t xml:space="preserve"> is comments or actions that are regarded as demeaning and unacceptable to the recipient</w:t>
            </w:r>
            <w:r w:rsidR="002B2830">
              <w:t>,</w:t>
            </w:r>
            <w:r w:rsidRPr="001F653F">
              <w:t xml:space="preserve"> or that create a hostile, degrading, </w:t>
            </w:r>
            <w:proofErr w:type="gramStart"/>
            <w:r w:rsidRPr="001F653F">
              <w:t>humiliating</w:t>
            </w:r>
            <w:proofErr w:type="gramEnd"/>
            <w:r w:rsidRPr="001F653F">
              <w:t xml:space="preserve"> or </w:t>
            </w:r>
            <w:r w:rsidRPr="009D3B85">
              <w:t>offensive working environment</w:t>
            </w:r>
            <w:r>
              <w:t>.</w:t>
            </w:r>
          </w:p>
          <w:p w14:paraId="302E4064" w14:textId="77777777" w:rsidR="009F54FE" w:rsidRDefault="009F54FE" w:rsidP="000F6D5F">
            <w:pPr>
              <w:pStyle w:val="NoSpacing"/>
            </w:pPr>
          </w:p>
          <w:p w14:paraId="79691437" w14:textId="77777777" w:rsidR="009F54FE" w:rsidRPr="00C0420A" w:rsidRDefault="009F54FE" w:rsidP="000F6D5F">
            <w:pPr>
              <w:pStyle w:val="NoSpacing"/>
            </w:pPr>
            <w:r w:rsidRPr="00C0420A">
              <w:t xml:space="preserve">Harassment may be verbal, non-verbal, physical, </w:t>
            </w:r>
            <w:proofErr w:type="gramStart"/>
            <w:r w:rsidRPr="00C0420A">
              <w:t>isolated</w:t>
            </w:r>
            <w:proofErr w:type="gramEnd"/>
            <w:r w:rsidRPr="00C0420A">
              <w:t xml:space="preserve"> or repeated and it can occur through behaviour in relation to</w:t>
            </w:r>
            <w:r>
              <w:t xml:space="preserve"> g</w:t>
            </w:r>
            <w:r w:rsidRPr="00C0420A">
              <w:t>ender, race, religion or belief, colour, ethnic or national origin, age, disability, sexual orientation, trade union membership, victimisation, real or suspected infection with HIV/AIDS, health status, marital status, political conviction or willingness to challenge harassment.</w:t>
            </w:r>
          </w:p>
          <w:p w14:paraId="4F3984A8" w14:textId="77777777" w:rsidR="009F54FE" w:rsidRDefault="009F54FE" w:rsidP="000F6D5F">
            <w:pPr>
              <w:rPr>
                <w:color w:val="0000CC"/>
              </w:rPr>
            </w:pPr>
          </w:p>
          <w:p w14:paraId="6CA2F27A" w14:textId="77777777" w:rsidR="009F54FE" w:rsidRPr="001F653F" w:rsidRDefault="009F54FE" w:rsidP="000F6D5F">
            <w:pPr>
              <w:rPr>
                <w:rFonts w:ascii="Arial" w:hAnsi="Arial" w:cs="Arial"/>
              </w:rPr>
            </w:pPr>
            <w:r w:rsidRPr="00F37D71">
              <w:rPr>
                <w:rFonts w:ascii="Arial" w:hAnsi="Arial" w:cs="Arial"/>
              </w:rPr>
              <w:t xml:space="preserve">Bullying can be defined as persistent, offensive, abusive, </w:t>
            </w:r>
            <w:proofErr w:type="gramStart"/>
            <w:r w:rsidRPr="00F37D71">
              <w:rPr>
                <w:rFonts w:ascii="Arial" w:hAnsi="Arial" w:cs="Arial"/>
              </w:rPr>
              <w:t>intimidating</w:t>
            </w:r>
            <w:proofErr w:type="gramEnd"/>
            <w:r w:rsidRPr="00F37D71">
              <w:rPr>
                <w:rFonts w:ascii="Arial" w:hAnsi="Arial" w:cs="Arial"/>
              </w:rPr>
              <w:t xml:space="preserve"> or malicious behaviour or abuse of power which makes the recipient feel threatened, humiliated or vulnerable and undermines confidence. Examples include:</w:t>
            </w:r>
          </w:p>
          <w:p w14:paraId="423D1D2B" w14:textId="77777777" w:rsidR="009F54FE" w:rsidRDefault="009F54FE" w:rsidP="000F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Shouting in public, </w:t>
            </w:r>
            <w:proofErr w:type="gramStart"/>
            <w:r>
              <w:rPr>
                <w:rFonts w:ascii="Arial" w:hAnsi="Arial" w:cs="Arial"/>
              </w:rPr>
              <w:t>persistent</w:t>
            </w:r>
            <w:proofErr w:type="gramEnd"/>
            <w:r>
              <w:rPr>
                <w:rFonts w:ascii="Arial" w:hAnsi="Arial" w:cs="Arial"/>
              </w:rPr>
              <w:t xml:space="preserve"> or unfair criticism, ostracising people, threats and instilling fear, inappropriate use of email, spreading malicious rumours, constantly undermining effort, withholding information, removing areas of responsibility or imposing inappropriate tasks.</w:t>
            </w:r>
          </w:p>
          <w:p w14:paraId="3D94D55C" w14:textId="77777777" w:rsidR="009F54FE" w:rsidRDefault="009F54FE" w:rsidP="000F6D5F">
            <w:pPr>
              <w:rPr>
                <w:rFonts w:ascii="Arial" w:hAnsi="Arial" w:cs="Arial"/>
              </w:rPr>
            </w:pPr>
          </w:p>
          <w:p w14:paraId="11CA02FE" w14:textId="77777777" w:rsidR="009F54FE" w:rsidRDefault="009F54FE" w:rsidP="000F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Certain actions may be acceptable to one person but not another. </w:t>
            </w:r>
          </w:p>
          <w:p w14:paraId="0DE17237" w14:textId="77777777" w:rsidR="009F54FE" w:rsidRPr="00D34CB6" w:rsidRDefault="009F54FE" w:rsidP="000F6D5F">
            <w:pPr>
              <w:rPr>
                <w:rFonts w:ascii="Arial" w:hAnsi="Arial" w:cs="Arial"/>
              </w:rPr>
            </w:pPr>
          </w:p>
        </w:tc>
      </w:tr>
      <w:tr w:rsidR="009F54FE" w:rsidRPr="00D34CB6" w14:paraId="30E3EB2E" w14:textId="77777777" w:rsidTr="000F6D5F">
        <w:tc>
          <w:tcPr>
            <w:tcW w:w="2160" w:type="dxa"/>
          </w:tcPr>
          <w:p w14:paraId="719B5576" w14:textId="77777777" w:rsidR="009F54FE" w:rsidRPr="00F37D71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F37D71">
              <w:rPr>
                <w:rFonts w:ascii="Arial" w:hAnsi="Arial" w:cs="Arial"/>
                <w:b/>
                <w:sz w:val="22"/>
                <w:szCs w:val="22"/>
                <w:lang w:val="en"/>
              </w:rPr>
              <w:t>Responsibilities</w:t>
            </w:r>
          </w:p>
        </w:tc>
        <w:tc>
          <w:tcPr>
            <w:tcW w:w="236" w:type="dxa"/>
          </w:tcPr>
          <w:p w14:paraId="6F2A711F" w14:textId="77777777" w:rsidR="009F54FE" w:rsidRPr="00F37D71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</w:tc>
        <w:tc>
          <w:tcPr>
            <w:tcW w:w="11884" w:type="dxa"/>
          </w:tcPr>
          <w:p w14:paraId="4A42A9C6" w14:textId="77777777" w:rsidR="009F54FE" w:rsidRPr="00020FBF" w:rsidRDefault="009F54FE" w:rsidP="000F6D5F">
            <w:pPr>
              <w:rPr>
                <w:rFonts w:ascii="Arial" w:hAnsi="Arial" w:cs="Arial"/>
              </w:rPr>
            </w:pPr>
            <w:r w:rsidRPr="00020FBF">
              <w:rPr>
                <w:rFonts w:ascii="Arial" w:hAnsi="Arial" w:cs="Arial"/>
              </w:rPr>
              <w:t xml:space="preserve">Everyone has a responsibility to behave in a way that is not offensive to others and acknowledge that the views and opinions held by others and decisions made by managers may not coincide with their own. </w:t>
            </w:r>
          </w:p>
          <w:p w14:paraId="7A77DFFA" w14:textId="77777777" w:rsidR="009F54FE" w:rsidRPr="00020FBF" w:rsidRDefault="009F54FE" w:rsidP="000F6D5F">
            <w:pPr>
              <w:rPr>
                <w:rFonts w:ascii="Arial" w:hAnsi="Arial" w:cs="Arial"/>
              </w:rPr>
            </w:pPr>
          </w:p>
          <w:p w14:paraId="63D86BDC" w14:textId="77777777" w:rsidR="009F54FE" w:rsidRDefault="009F54FE" w:rsidP="000F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Employees or Councillors </w:t>
            </w:r>
            <w:r w:rsidRPr="00F37D71">
              <w:rPr>
                <w:rFonts w:ascii="Arial" w:hAnsi="Arial" w:cs="Arial"/>
              </w:rPr>
              <w:t xml:space="preserve">should report any actions which breach this policy to </w:t>
            </w:r>
            <w:r>
              <w:rPr>
                <w:rFonts w:ascii="Arial" w:hAnsi="Arial" w:cs="Arial"/>
              </w:rPr>
              <w:t xml:space="preserve">the </w:t>
            </w:r>
            <w:r w:rsidRPr="00650908">
              <w:rPr>
                <w:rFonts w:ascii="Arial" w:hAnsi="Arial" w:cs="Arial"/>
              </w:rPr>
              <w:t>Clerk and Chairperson/Vice Chairperson</w:t>
            </w:r>
          </w:p>
          <w:p w14:paraId="00AEC273" w14:textId="77777777" w:rsidR="009F54FE" w:rsidRPr="00C4550C" w:rsidRDefault="009F54FE" w:rsidP="000F6D5F">
            <w:pPr>
              <w:rPr>
                <w:rFonts w:ascii="Arial" w:hAnsi="Arial" w:cs="Arial"/>
              </w:rPr>
            </w:pPr>
          </w:p>
          <w:p w14:paraId="4B665BFE" w14:textId="77777777" w:rsidR="009F54FE" w:rsidRPr="00020FBF" w:rsidRDefault="009F54FE" w:rsidP="000F6D5F">
            <w:pPr>
              <w:rPr>
                <w:rFonts w:ascii="Arial" w:hAnsi="Arial" w:cs="Arial"/>
              </w:rPr>
            </w:pPr>
            <w:r w:rsidRPr="00C4550C">
              <w:rPr>
                <w:rFonts w:ascii="Arial" w:hAnsi="Arial" w:cs="Arial"/>
                <w:lang w:val="en"/>
              </w:rPr>
              <w:t xml:space="preserve">Employees </w:t>
            </w:r>
            <w:r>
              <w:rPr>
                <w:rFonts w:ascii="Arial" w:hAnsi="Arial" w:cs="Arial"/>
                <w:lang w:val="en"/>
              </w:rPr>
              <w:t>and Councilors will</w:t>
            </w:r>
            <w:r w:rsidRPr="00C4550C">
              <w:rPr>
                <w:rFonts w:ascii="Arial" w:hAnsi="Arial" w:cs="Arial"/>
                <w:lang w:val="en"/>
              </w:rPr>
              <w:t xml:space="preserve"> be protected from intimidation, </w:t>
            </w:r>
            <w:proofErr w:type="spellStart"/>
            <w:proofErr w:type="gramStart"/>
            <w:r w:rsidRPr="00C4550C">
              <w:rPr>
                <w:rFonts w:ascii="Arial" w:hAnsi="Arial" w:cs="Arial"/>
                <w:lang w:val="en"/>
              </w:rPr>
              <w:t>victimisation</w:t>
            </w:r>
            <w:proofErr w:type="spellEnd"/>
            <w:proofErr w:type="gramEnd"/>
            <w:r w:rsidRPr="00C4550C">
              <w:rPr>
                <w:rFonts w:ascii="Arial" w:hAnsi="Arial" w:cs="Arial"/>
                <w:lang w:val="en"/>
              </w:rPr>
              <w:t xml:space="preserve"> or discrimination for making a complaint or assisting in an investigation.</w:t>
            </w:r>
          </w:p>
        </w:tc>
      </w:tr>
      <w:tr w:rsidR="009F54FE" w:rsidRPr="00D34CB6" w14:paraId="0C994C0A" w14:textId="77777777" w:rsidTr="000F6D5F">
        <w:tc>
          <w:tcPr>
            <w:tcW w:w="2160" w:type="dxa"/>
          </w:tcPr>
          <w:p w14:paraId="32C202BA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Complaints</w:t>
            </w:r>
          </w:p>
        </w:tc>
        <w:tc>
          <w:tcPr>
            <w:tcW w:w="236" w:type="dxa"/>
          </w:tcPr>
          <w:p w14:paraId="57EF6A31" w14:textId="77777777" w:rsidR="009F54FE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  <w:p w14:paraId="16C9C4BA" w14:textId="77777777" w:rsidR="009F54FE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  <w:p w14:paraId="558CCEC3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</w:tc>
        <w:tc>
          <w:tcPr>
            <w:tcW w:w="11884" w:type="dxa"/>
          </w:tcPr>
          <w:p w14:paraId="15E4FBB7" w14:textId="77777777" w:rsidR="009F54FE" w:rsidRPr="00020FBF" w:rsidRDefault="009F54FE" w:rsidP="000F6D5F">
            <w:pPr>
              <w:rPr>
                <w:rFonts w:ascii="Arial" w:hAnsi="Arial" w:cs="Arial"/>
              </w:rPr>
            </w:pPr>
            <w:r w:rsidRPr="00020FBF">
              <w:rPr>
                <w:rFonts w:ascii="Arial" w:hAnsi="Arial" w:cs="Arial"/>
              </w:rPr>
              <w:t xml:space="preserve">All complaints will be dealt with as confidentially as possible. However, the organisation has a duty of care to all employees, and it may be necessary to investigate and </w:t>
            </w:r>
            <w:proofErr w:type="gramStart"/>
            <w:r w:rsidRPr="00020FBF">
              <w:rPr>
                <w:rFonts w:ascii="Arial" w:hAnsi="Arial" w:cs="Arial"/>
              </w:rPr>
              <w:t>take action</w:t>
            </w:r>
            <w:proofErr w:type="gramEnd"/>
            <w:r w:rsidRPr="00020FBF">
              <w:rPr>
                <w:rFonts w:ascii="Arial" w:hAnsi="Arial" w:cs="Arial"/>
              </w:rPr>
              <w:t xml:space="preserve"> regarding a complaint without the consent of the complainant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54FE" w:rsidRPr="00D34CB6" w14:paraId="51C49C40" w14:textId="77777777" w:rsidTr="000F6D5F">
        <w:tc>
          <w:tcPr>
            <w:tcW w:w="2160" w:type="dxa"/>
          </w:tcPr>
          <w:p w14:paraId="7006C3B8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Informal complaint procedure</w:t>
            </w:r>
          </w:p>
        </w:tc>
        <w:tc>
          <w:tcPr>
            <w:tcW w:w="236" w:type="dxa"/>
          </w:tcPr>
          <w:p w14:paraId="4E8F4A80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</w:tc>
        <w:tc>
          <w:tcPr>
            <w:tcW w:w="11884" w:type="dxa"/>
          </w:tcPr>
          <w:p w14:paraId="66E74811" w14:textId="32AD7CA2" w:rsidR="009F54FE" w:rsidRPr="00CB49D8" w:rsidRDefault="009F54FE" w:rsidP="002B2830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 xml:space="preserve">If the employee feels able to, then often the quickest and most effective means of dealing with an issue is for the </w:t>
            </w:r>
            <w:r w:rsidRPr="00020FBF">
              <w:rPr>
                <w:rFonts w:ascii="Arial" w:hAnsi="Arial" w:cs="Arial"/>
              </w:rPr>
              <w:t xml:space="preserve">recipient to </w:t>
            </w:r>
            <w:r>
              <w:rPr>
                <w:rFonts w:ascii="Arial" w:hAnsi="Arial" w:cs="Arial"/>
              </w:rPr>
              <w:t xml:space="preserve">raise the matter informally, </w:t>
            </w:r>
            <w:r w:rsidRPr="00020FBF">
              <w:rPr>
                <w:rFonts w:ascii="Arial" w:hAnsi="Arial" w:cs="Arial"/>
              </w:rPr>
              <w:t>make their colleague aware that their behaviour is unacceptable and explain why.</w:t>
            </w:r>
          </w:p>
        </w:tc>
      </w:tr>
      <w:tr w:rsidR="009F54FE" w:rsidRPr="00D34CB6" w14:paraId="1D8270D3" w14:textId="77777777" w:rsidTr="000F6D5F">
        <w:tc>
          <w:tcPr>
            <w:tcW w:w="2160" w:type="dxa"/>
          </w:tcPr>
          <w:p w14:paraId="7EAB288D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Formal complaint procedure</w:t>
            </w:r>
          </w:p>
        </w:tc>
        <w:tc>
          <w:tcPr>
            <w:tcW w:w="236" w:type="dxa"/>
          </w:tcPr>
          <w:p w14:paraId="073F993F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</w:tc>
        <w:tc>
          <w:tcPr>
            <w:tcW w:w="11884" w:type="dxa"/>
          </w:tcPr>
          <w:p w14:paraId="2DE6A848" w14:textId="06EDB63B" w:rsidR="009F54FE" w:rsidRDefault="002B2830" w:rsidP="000F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 1 – Attempted resolution by frontline staff. </w:t>
            </w:r>
          </w:p>
          <w:p w14:paraId="5BEE81EE" w14:textId="3E37E1E9" w:rsidR="002B2830" w:rsidRDefault="002B2830" w:rsidP="000F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 – Attempted resolution by the Clerk.</w:t>
            </w:r>
          </w:p>
          <w:p w14:paraId="25F0507D" w14:textId="3A11435D" w:rsidR="002B2830" w:rsidRDefault="002B2830" w:rsidP="000F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3 – The complaint is considered by a panel of Councillors (or possibly full Council).</w:t>
            </w:r>
          </w:p>
          <w:p w14:paraId="04D293F2" w14:textId="4293944F" w:rsidR="002B2830" w:rsidRPr="00650908" w:rsidRDefault="002B2830" w:rsidP="002B2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In Council’s where the Clerk is the sole employee, Stage 1 is redundant. In cases where the Clerk is the complainant, Stage 2 is redundant. </w:t>
            </w:r>
          </w:p>
        </w:tc>
      </w:tr>
      <w:tr w:rsidR="009F54FE" w:rsidRPr="00D34CB6" w14:paraId="5601A3DC" w14:textId="77777777" w:rsidTr="000F6D5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430" w14:textId="77777777" w:rsidR="009F54FE" w:rsidRPr="00D34CB6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Monitoring and review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E7F" w14:textId="77777777" w:rsidR="009F54FE" w:rsidRPr="00A84BD5" w:rsidRDefault="009F54FE" w:rsidP="000F6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56E" w14:textId="77777777" w:rsidR="009F54FE" w:rsidRPr="00092709" w:rsidRDefault="009F54FE" w:rsidP="000F6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5C44">
              <w:rPr>
                <w:rFonts w:ascii="Arial" w:hAnsi="Arial" w:cs="Arial"/>
              </w:rPr>
              <w:t xml:space="preserve">The policy </w:t>
            </w:r>
            <w:r>
              <w:rPr>
                <w:rFonts w:ascii="Arial" w:hAnsi="Arial" w:cs="Arial"/>
              </w:rPr>
              <w:t xml:space="preserve">should be </w:t>
            </w:r>
            <w:r w:rsidRPr="00092709">
              <w:rPr>
                <w:rFonts w:ascii="Arial" w:hAnsi="Arial" w:cs="Arial"/>
              </w:rPr>
              <w:t xml:space="preserve">reviewed Annually to ensure the effectiveness of the policy. </w:t>
            </w:r>
          </w:p>
          <w:p w14:paraId="0A9B12A5" w14:textId="7DE69A66" w:rsidR="009F54FE" w:rsidRPr="00092709" w:rsidRDefault="009F54FE" w:rsidP="000F6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709">
              <w:rPr>
                <w:rFonts w:ascii="Arial" w:hAnsi="Arial" w:cs="Arial"/>
              </w:rPr>
              <w:t xml:space="preserve">Monitoring of the policy will take place through the following means: </w:t>
            </w:r>
            <w:r w:rsidRPr="00092709">
              <w:rPr>
                <w:rFonts w:ascii="Arial" w:hAnsi="Arial" w:cs="Arial"/>
                <w:lang w:val="en"/>
              </w:rPr>
              <w:t xml:space="preserve">This will take the form of </w:t>
            </w:r>
            <w:proofErr w:type="spellStart"/>
            <w:r w:rsidRPr="00092709">
              <w:rPr>
                <w:rFonts w:ascii="Arial" w:hAnsi="Arial" w:cs="Arial"/>
                <w:lang w:val="en"/>
              </w:rPr>
              <w:t>analy</w:t>
            </w:r>
            <w:r w:rsidR="002B2830">
              <w:rPr>
                <w:rFonts w:ascii="Arial" w:hAnsi="Arial" w:cs="Arial"/>
                <w:lang w:val="en"/>
              </w:rPr>
              <w:t>s</w:t>
            </w:r>
            <w:r w:rsidRPr="00092709">
              <w:rPr>
                <w:rFonts w:ascii="Arial" w:hAnsi="Arial" w:cs="Arial"/>
                <w:lang w:val="en"/>
              </w:rPr>
              <w:t>ing</w:t>
            </w:r>
            <w:proofErr w:type="spellEnd"/>
            <w:r w:rsidRPr="00092709">
              <w:rPr>
                <w:rFonts w:ascii="Arial" w:hAnsi="Arial" w:cs="Arial"/>
                <w:lang w:val="en"/>
              </w:rPr>
              <w:t xml:space="preserve"> the number of complaints or number of issues raised. Some </w:t>
            </w:r>
            <w:proofErr w:type="spellStart"/>
            <w:r w:rsidRPr="00092709">
              <w:rPr>
                <w:rFonts w:ascii="Arial" w:hAnsi="Arial" w:cs="Arial"/>
                <w:lang w:val="en"/>
              </w:rPr>
              <w:t>organi</w:t>
            </w:r>
            <w:r w:rsidR="002B2830">
              <w:rPr>
                <w:rFonts w:ascii="Arial" w:hAnsi="Arial" w:cs="Arial"/>
                <w:lang w:val="en"/>
              </w:rPr>
              <w:t>s</w:t>
            </w:r>
            <w:r w:rsidRPr="00092709">
              <w:rPr>
                <w:rFonts w:ascii="Arial" w:hAnsi="Arial" w:cs="Arial"/>
                <w:lang w:val="en"/>
              </w:rPr>
              <w:t>ations</w:t>
            </w:r>
            <w:proofErr w:type="spellEnd"/>
            <w:r w:rsidRPr="00092709">
              <w:rPr>
                <w:rFonts w:ascii="Arial" w:hAnsi="Arial" w:cs="Arial"/>
                <w:lang w:val="en"/>
              </w:rPr>
              <w:t xml:space="preserve"> have a staff survey which allows staff to comment on this aspect. Exit interviews (when a person is leaving the </w:t>
            </w:r>
            <w:proofErr w:type="spellStart"/>
            <w:r w:rsidRPr="00092709">
              <w:rPr>
                <w:rFonts w:ascii="Arial" w:hAnsi="Arial" w:cs="Arial"/>
                <w:lang w:val="en"/>
              </w:rPr>
              <w:t>organi</w:t>
            </w:r>
            <w:r w:rsidR="002B2830">
              <w:rPr>
                <w:rFonts w:ascii="Arial" w:hAnsi="Arial" w:cs="Arial"/>
                <w:lang w:val="en"/>
              </w:rPr>
              <w:t>s</w:t>
            </w:r>
            <w:r w:rsidRPr="00092709">
              <w:rPr>
                <w:rFonts w:ascii="Arial" w:hAnsi="Arial" w:cs="Arial"/>
                <w:lang w:val="en"/>
              </w:rPr>
              <w:t>ation</w:t>
            </w:r>
            <w:proofErr w:type="spellEnd"/>
            <w:r w:rsidRPr="00092709">
              <w:rPr>
                <w:rFonts w:ascii="Arial" w:hAnsi="Arial" w:cs="Arial"/>
                <w:lang w:val="en"/>
              </w:rPr>
              <w:t xml:space="preserve">) are also a useful way of gaining a perspective on the success of the policy. </w:t>
            </w:r>
            <w:proofErr w:type="spellStart"/>
            <w:r w:rsidRPr="00092709">
              <w:rPr>
                <w:rFonts w:ascii="Arial" w:hAnsi="Arial" w:cs="Arial"/>
                <w:lang w:val="en"/>
              </w:rPr>
              <w:t>Thr</w:t>
            </w:r>
            <w:r w:rsidRPr="00092709">
              <w:rPr>
                <w:rFonts w:ascii="Arial" w:hAnsi="Arial" w:cs="Arial"/>
              </w:rPr>
              <w:t>ough</w:t>
            </w:r>
            <w:proofErr w:type="spellEnd"/>
            <w:r w:rsidRPr="00092709">
              <w:rPr>
                <w:rFonts w:ascii="Arial" w:hAnsi="Arial" w:cs="Arial"/>
              </w:rPr>
              <w:t xml:space="preserve"> monitoring, an organisation may be able to identify trends of unacceptable behaviour in a particular area of the organisation and develop an action plan to address it.</w:t>
            </w:r>
          </w:p>
          <w:p w14:paraId="7A2705E0" w14:textId="77777777" w:rsidR="009F54FE" w:rsidRDefault="009F54FE" w:rsidP="000F6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195C95" w14:textId="77777777" w:rsidR="009F54FE" w:rsidRPr="00335C44" w:rsidRDefault="009F54FE" w:rsidP="000F6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7F7FFB3" w14:textId="77777777" w:rsidR="009F54FE" w:rsidRPr="00F65FDB" w:rsidRDefault="009F54FE" w:rsidP="009F54FE">
      <w:pPr>
        <w:jc w:val="center"/>
      </w:pPr>
    </w:p>
    <w:p w14:paraId="632CAB93" w14:textId="77777777" w:rsidR="009F54FE" w:rsidRDefault="009F54FE" w:rsidP="00A63DF1">
      <w:pPr>
        <w:jc w:val="center"/>
      </w:pPr>
    </w:p>
    <w:sectPr w:rsidR="009F54FE" w:rsidSect="0093164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1"/>
    <w:rsid w:val="002B2830"/>
    <w:rsid w:val="00931644"/>
    <w:rsid w:val="009F54FE"/>
    <w:rsid w:val="00A63DF1"/>
    <w:rsid w:val="00F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11BD"/>
  <w15:chartTrackingRefBased/>
  <w15:docId w15:val="{2CCCA367-C899-4A6E-B835-E07B012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F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4F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rsid w:val="009F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9F54FE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Milner</dc:creator>
  <cp:keywords/>
  <dc:description/>
  <cp:lastModifiedBy>Denise Milner</cp:lastModifiedBy>
  <cp:revision>4</cp:revision>
  <dcterms:created xsi:type="dcterms:W3CDTF">2024-02-05T14:11:00Z</dcterms:created>
  <dcterms:modified xsi:type="dcterms:W3CDTF">2024-02-05T14:17:00Z</dcterms:modified>
</cp:coreProperties>
</file>